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F8" w:rsidRDefault="00E56EF8" w:rsidP="00E56EF8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</w:t>
      </w:r>
      <w:r>
        <w:rPr>
          <w:rFonts w:eastAsia="Arial Unicode MS"/>
          <w:b/>
        </w:rPr>
        <w:br/>
      </w:r>
      <w:bookmarkStart w:id="0" w:name="_GoBack"/>
      <w:bookmarkEnd w:id="0"/>
      <w:r w:rsidRPr="00682B4B">
        <w:rPr>
          <w:rFonts w:eastAsia="Arial Unicode MS"/>
          <w:b/>
        </w:rPr>
        <w:t xml:space="preserve">с обращениями граждан </w:t>
      </w:r>
      <w:r>
        <w:rPr>
          <w:rFonts w:eastAsia="Arial Unicode MS"/>
          <w:b/>
        </w:rPr>
        <w:t>в ноябре 2018 года</w:t>
      </w:r>
    </w:p>
    <w:p w:rsidR="00E56EF8" w:rsidRDefault="00E56EF8" w:rsidP="00E56EF8">
      <w:pPr>
        <w:jc w:val="center"/>
        <w:rPr>
          <w:rFonts w:eastAsia="Arial Unicode MS"/>
          <w:b/>
        </w:rPr>
      </w:pPr>
    </w:p>
    <w:p w:rsidR="00E56EF8" w:rsidRDefault="00E56EF8" w:rsidP="00E56EF8">
      <w:pPr>
        <w:rPr>
          <w:rFonts w:eastAsia="Arial Unicode MS"/>
        </w:rPr>
      </w:pPr>
      <w:r>
        <w:rPr>
          <w:rFonts w:eastAsia="Arial Unicode MS"/>
        </w:rPr>
        <w:tab/>
      </w:r>
      <w:proofErr w:type="gramStart"/>
      <w:r>
        <w:rPr>
          <w:rFonts w:eastAsia="Arial Unicode MS"/>
        </w:rPr>
        <w:t xml:space="preserve">За ноябрь 2018 года в Департамент поступило </w:t>
      </w:r>
      <w:r w:rsidRPr="00664C24">
        <w:rPr>
          <w:rFonts w:eastAsia="Arial Unicode MS"/>
          <w:b/>
        </w:rPr>
        <w:t>44</w:t>
      </w:r>
      <w:r>
        <w:rPr>
          <w:rFonts w:eastAsia="Arial Unicode MS"/>
        </w:rPr>
        <w:t xml:space="preserve"> письменных обращения. </w:t>
      </w:r>
      <w:r w:rsidRPr="00664C24">
        <w:rPr>
          <w:rFonts w:eastAsia="Arial Unicode MS"/>
          <w:b/>
        </w:rPr>
        <w:t xml:space="preserve">40 </w:t>
      </w:r>
      <w:r>
        <w:rPr>
          <w:rFonts w:eastAsia="Arial Unicode MS"/>
        </w:rPr>
        <w:t xml:space="preserve">обращений (90,91 %) переадресованы из Правительства Ивановской области (в том числе из Управления Президента по работе с обращениями граждан и организаций - </w:t>
      </w:r>
      <w:r w:rsidRPr="00664C24">
        <w:rPr>
          <w:rFonts w:eastAsia="Arial Unicode MS"/>
          <w:b/>
        </w:rPr>
        <w:t>2</w:t>
      </w:r>
      <w:r>
        <w:rPr>
          <w:rFonts w:eastAsia="Arial Unicode MS"/>
        </w:rPr>
        <w:t xml:space="preserve"> (4,55 %),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>1</w:t>
      </w:r>
      <w:r>
        <w:rPr>
          <w:rFonts w:eastAsia="Arial Unicode MS"/>
        </w:rPr>
        <w:t xml:space="preserve">(2,27 %), лично от граждан –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>(6,82%).</w:t>
      </w:r>
      <w:proofErr w:type="gramEnd"/>
    </w:p>
    <w:p w:rsidR="00E56EF8" w:rsidRDefault="00E56EF8" w:rsidP="00E56EF8">
      <w:pPr>
        <w:rPr>
          <w:rFonts w:eastAsia="Arial Unicode MS"/>
        </w:rPr>
      </w:pPr>
    </w:p>
    <w:p w:rsidR="00E56EF8" w:rsidRDefault="00E56EF8" w:rsidP="00E56EF8">
      <w:pPr>
        <w:rPr>
          <w:rFonts w:eastAsia="Arial Unicode MS"/>
        </w:rPr>
      </w:pPr>
      <w:r>
        <w:rPr>
          <w:rFonts w:eastAsia="Arial Unicode MS"/>
        </w:rPr>
        <w:tab/>
      </w:r>
    </w:p>
    <w:p w:rsidR="00E56EF8" w:rsidRDefault="00E56EF8" w:rsidP="00E56EF8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поступивших на рассмотрение в структурные подразделения Департамента представлено в таблице 1.</w:t>
      </w:r>
    </w:p>
    <w:p w:rsidR="00E56EF8" w:rsidRPr="00682B4B" w:rsidRDefault="00E56EF8" w:rsidP="00E56EF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56EF8" w:rsidRPr="007B4588" w:rsidTr="00D0613A">
        <w:trPr>
          <w:trHeight w:val="652"/>
        </w:trPr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E56EF8" w:rsidRPr="007B4588" w:rsidTr="00D0613A"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E56EF8" w:rsidRPr="00904F82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3285" w:type="dxa"/>
            <w:shd w:val="clear" w:color="auto" w:fill="auto"/>
          </w:tcPr>
          <w:p w:rsidR="00E56EF8" w:rsidRPr="00904F82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47,73</w:t>
            </w:r>
          </w:p>
        </w:tc>
      </w:tr>
      <w:tr w:rsidR="00E56EF8" w:rsidRPr="007B4588" w:rsidTr="00D0613A"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E56EF8" w:rsidRPr="00904F82" w:rsidRDefault="00E56EF8" w:rsidP="00D0613A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285" w:type="dxa"/>
            <w:shd w:val="clear" w:color="auto" w:fill="auto"/>
          </w:tcPr>
          <w:p w:rsidR="00E56EF8" w:rsidRPr="00904F82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27,27</w:t>
            </w:r>
          </w:p>
        </w:tc>
      </w:tr>
      <w:tr w:rsidR="00E56EF8" w:rsidRPr="007B4588" w:rsidTr="00D0613A"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E56EF8" w:rsidRDefault="00E56EF8" w:rsidP="00D0613A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11,36</w:t>
            </w:r>
          </w:p>
        </w:tc>
      </w:tr>
      <w:tr w:rsidR="00E56EF8" w:rsidRPr="007B4588" w:rsidTr="00D0613A"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E56EF8" w:rsidRDefault="00E56EF8" w:rsidP="00D0613A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9,09</w:t>
            </w:r>
          </w:p>
        </w:tc>
      </w:tr>
      <w:tr w:rsidR="00E56EF8" w:rsidRPr="007B4588" w:rsidTr="00D0613A">
        <w:tc>
          <w:tcPr>
            <w:tcW w:w="3284" w:type="dxa"/>
            <w:shd w:val="clear" w:color="auto" w:fill="auto"/>
          </w:tcPr>
          <w:p w:rsidR="00E56EF8" w:rsidRPr="007B4588" w:rsidRDefault="00E56EF8" w:rsidP="00D0613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Административно-организационный отдел</w:t>
            </w:r>
          </w:p>
        </w:tc>
        <w:tc>
          <w:tcPr>
            <w:tcW w:w="3284" w:type="dxa"/>
            <w:shd w:val="clear" w:color="auto" w:fill="auto"/>
          </w:tcPr>
          <w:p w:rsidR="00E56EF8" w:rsidRDefault="00E56EF8" w:rsidP="00D0613A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4,54</w:t>
            </w:r>
          </w:p>
        </w:tc>
      </w:tr>
    </w:tbl>
    <w:p w:rsidR="00E56EF8" w:rsidRDefault="00E56EF8" w:rsidP="00E56EF8">
      <w:pPr>
        <w:jc w:val="center"/>
        <w:rPr>
          <w:bCs/>
        </w:rPr>
      </w:pPr>
    </w:p>
    <w:p w:rsidR="00E56EF8" w:rsidRDefault="00E56EF8" w:rsidP="00E56EF8">
      <w:pPr>
        <w:jc w:val="center"/>
        <w:rPr>
          <w:bCs/>
        </w:rPr>
      </w:pPr>
      <w:r>
        <w:rPr>
          <w:bCs/>
        </w:rPr>
        <w:t>Тематика обращений граждан за ноябрь 2018 года представлена в таблице 2.</w:t>
      </w:r>
    </w:p>
    <w:p w:rsidR="00E56EF8" w:rsidRDefault="00E56EF8" w:rsidP="00E56EF8">
      <w:pPr>
        <w:jc w:val="center"/>
        <w:rPr>
          <w:bCs/>
        </w:rPr>
      </w:pPr>
    </w:p>
    <w:p w:rsidR="00E56EF8" w:rsidRDefault="00E56EF8" w:rsidP="00E56EF8">
      <w:pPr>
        <w:jc w:val="center"/>
        <w:rPr>
          <w:bCs/>
        </w:rPr>
      </w:pPr>
    </w:p>
    <w:p w:rsidR="00E56EF8" w:rsidRDefault="00E56EF8" w:rsidP="00E56EF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67"/>
        <w:gridCol w:w="1776"/>
        <w:gridCol w:w="1735"/>
      </w:tblGrid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8F3B95">
              <w:rPr>
                <w:rFonts w:eastAsia="Calibri"/>
                <w:bCs/>
                <w:sz w:val="20"/>
                <w:szCs w:val="20"/>
              </w:rPr>
              <w:t>Об оформлении в собственность,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13,64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8F3B95">
              <w:rPr>
                <w:rFonts w:eastAsia="Calibri"/>
                <w:bCs/>
                <w:sz w:val="20"/>
                <w:szCs w:val="20"/>
              </w:rPr>
              <w:t>Вопросы, относящиеся к приватизации, продаже, оформлению жилых помещений</w:t>
            </w:r>
          </w:p>
        </w:tc>
        <w:tc>
          <w:tcPr>
            <w:tcW w:w="1776" w:type="dxa"/>
            <w:shd w:val="clear" w:color="auto" w:fill="auto"/>
          </w:tcPr>
          <w:p w:rsidR="00E56EF8" w:rsidRPr="009D6CE6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E56EF8" w:rsidRPr="00537D42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13,64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восстановлении границ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E56EF8" w:rsidRPr="00C9333E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11,36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Выделение земельных участков многодетным семьям и обеспечение их инфраструктурой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18,18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межевании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6,82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Вопросы, касающиеся земельных споров между соседями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4,55</w:t>
            </w:r>
          </w:p>
        </w:tc>
      </w:tr>
      <w:tr w:rsidR="00E56EF8" w:rsidRPr="007B4588" w:rsidTr="00D0613A"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снижении кадастровой стоимости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4,55</w:t>
            </w:r>
          </w:p>
        </w:tc>
      </w:tr>
      <w:tr w:rsidR="00E56EF8" w:rsidRPr="007B4588" w:rsidTr="00D0613A">
        <w:trPr>
          <w:trHeight w:val="359"/>
        </w:trPr>
        <w:tc>
          <w:tcPr>
            <w:tcW w:w="675" w:type="dxa"/>
            <w:shd w:val="clear" w:color="auto" w:fill="auto"/>
          </w:tcPr>
          <w:p w:rsidR="00E56EF8" w:rsidRPr="007B458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E56EF8" w:rsidRPr="007B4588" w:rsidRDefault="00E56EF8" w:rsidP="00D0613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пользовании земельными участками</w:t>
            </w:r>
          </w:p>
        </w:tc>
        <w:tc>
          <w:tcPr>
            <w:tcW w:w="1776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56EF8" w:rsidRPr="007B458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9,09</w:t>
            </w:r>
          </w:p>
        </w:tc>
      </w:tr>
      <w:tr w:rsidR="00E56EF8" w:rsidRPr="007B4588" w:rsidTr="00D0613A">
        <w:trPr>
          <w:trHeight w:val="359"/>
        </w:trPr>
        <w:tc>
          <w:tcPr>
            <w:tcW w:w="675" w:type="dxa"/>
            <w:shd w:val="clear" w:color="auto" w:fill="auto"/>
          </w:tcPr>
          <w:p w:rsidR="00E56EF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E56EF8" w:rsidRDefault="00E56EF8" w:rsidP="00D0613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нарушении земельного законодательства</w:t>
            </w:r>
          </w:p>
        </w:tc>
        <w:tc>
          <w:tcPr>
            <w:tcW w:w="1776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6,82</w:t>
            </w:r>
          </w:p>
        </w:tc>
      </w:tr>
      <w:tr w:rsidR="00E56EF8" w:rsidRPr="007B4588" w:rsidTr="00D0613A">
        <w:trPr>
          <w:trHeight w:val="359"/>
        </w:trPr>
        <w:tc>
          <w:tcPr>
            <w:tcW w:w="675" w:type="dxa"/>
            <w:shd w:val="clear" w:color="auto" w:fill="auto"/>
          </w:tcPr>
          <w:p w:rsidR="00E56EF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5667" w:type="dxa"/>
            <w:shd w:val="clear" w:color="auto" w:fill="auto"/>
          </w:tcPr>
          <w:p w:rsidR="00E56EF8" w:rsidRDefault="00E56EF8" w:rsidP="00D0613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633B4D">
              <w:rPr>
                <w:rFonts w:eastAsia="Calibri"/>
                <w:bCs/>
                <w:sz w:val="20"/>
                <w:szCs w:val="20"/>
              </w:rPr>
              <w:t>О незаконном сносе гаража</w:t>
            </w:r>
          </w:p>
        </w:tc>
        <w:tc>
          <w:tcPr>
            <w:tcW w:w="1776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2,27</w:t>
            </w:r>
          </w:p>
        </w:tc>
      </w:tr>
      <w:tr w:rsidR="00E56EF8" w:rsidRPr="007B4588" w:rsidTr="00D0613A">
        <w:trPr>
          <w:trHeight w:val="359"/>
        </w:trPr>
        <w:tc>
          <w:tcPr>
            <w:tcW w:w="675" w:type="dxa"/>
            <w:shd w:val="clear" w:color="auto" w:fill="auto"/>
          </w:tcPr>
          <w:p w:rsidR="00E56EF8" w:rsidRDefault="00E56EF8" w:rsidP="00D0613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5667" w:type="dxa"/>
            <w:shd w:val="clear" w:color="auto" w:fill="auto"/>
          </w:tcPr>
          <w:p w:rsidR="00E56EF8" w:rsidRPr="00633B4D" w:rsidRDefault="00E56EF8" w:rsidP="00D0613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Прочие</w:t>
            </w:r>
          </w:p>
        </w:tc>
        <w:tc>
          <w:tcPr>
            <w:tcW w:w="1776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56EF8" w:rsidRDefault="00E56EF8" w:rsidP="00D061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9,09</w:t>
            </w:r>
          </w:p>
        </w:tc>
      </w:tr>
    </w:tbl>
    <w:p w:rsidR="00E56EF8" w:rsidRDefault="00E56EF8" w:rsidP="00E56EF8">
      <w:pPr>
        <w:rPr>
          <w:bCs/>
        </w:rPr>
      </w:pPr>
    </w:p>
    <w:p w:rsidR="00E56EF8" w:rsidRPr="00616FCE" w:rsidRDefault="00E56EF8" w:rsidP="00E56EF8">
      <w:pPr>
        <w:ind w:firstLine="708"/>
        <w:rPr>
          <w:b/>
          <w:sz w:val="28"/>
          <w:szCs w:val="28"/>
        </w:rPr>
      </w:pPr>
      <w:r>
        <w:rPr>
          <w:bCs/>
        </w:rPr>
        <w:t>На контроль поставлены все письменные обращения граждан. Специалистами Департамента даны разъяснения на 36 обращений, 3 обращения переадресованы для рассмотрения по компетенции, 5 обращений находятся на рассмотрении.</w:t>
      </w:r>
    </w:p>
    <w:p w:rsidR="00E56EF8" w:rsidRPr="00616FCE" w:rsidRDefault="00E56EF8" w:rsidP="00E56EF8">
      <w:pPr>
        <w:rPr>
          <w:rFonts w:eastAsia="Arial Unicode MS"/>
        </w:rPr>
      </w:pPr>
    </w:p>
    <w:p w:rsidR="00BE454C" w:rsidRDefault="00BE454C"/>
    <w:sectPr w:rsidR="00BE454C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F8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56EF8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2018-12-07T06:33:00Z</dcterms:created>
  <dcterms:modified xsi:type="dcterms:W3CDTF">2018-12-07T06:34:00Z</dcterms:modified>
</cp:coreProperties>
</file>